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6C91F4C4"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w:t>
      </w:r>
      <w:r w:rsidR="00734004">
        <w:rPr>
          <w:rFonts w:ascii="PT Astra Serif" w:hAnsi="PT Astra Serif"/>
          <w:b/>
          <w:bCs/>
          <w:color w:val="000000"/>
          <w:sz w:val="24"/>
          <w:szCs w:val="24"/>
          <w:lang w:val="ru-RU"/>
        </w:rPr>
        <w:t>ё</w:t>
      </w:r>
      <w:r w:rsidRPr="004F07AF">
        <w:rPr>
          <w:rFonts w:ascii="PT Astra Serif" w:hAnsi="PT Astra Serif"/>
          <w:b/>
          <w:bCs/>
          <w:color w:val="000000"/>
          <w:sz w:val="24"/>
          <w:szCs w:val="24"/>
          <w:lang w:val="ru-RU"/>
        </w:rPr>
        <w:t xml:space="preserve">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474D4C7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009C1520" w:rsidRPr="009C1520">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DB8AF26" w14:textId="1F31E234" w:rsidR="009C1520" w:rsidRDefault="00C71AE4" w:rsidP="009E0ACB">
      <w:pPr>
        <w:spacing w:before="0" w:beforeAutospacing="0" w:after="0" w:afterAutospacing="0"/>
        <w:ind w:firstLine="567"/>
        <w:jc w:val="both"/>
        <w:rPr>
          <w:rFonts w:ascii="PT Astra Serif" w:hAnsi="PT Astra Serif"/>
          <w:b/>
          <w:color w:val="000099"/>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r w:rsidR="009E0ACB" w:rsidRPr="00C71AE4">
        <w:rPr>
          <w:rFonts w:ascii="PT Astra Serif" w:hAnsi="PT Astra Serif"/>
          <w:color w:val="000000"/>
          <w:sz w:val="24"/>
          <w:szCs w:val="24"/>
          <w:lang w:val="ru-RU"/>
        </w:rPr>
        <w:t xml:space="preserve">: </w:t>
      </w:r>
      <w:r w:rsidR="00A8650B" w:rsidRPr="00A8650B">
        <w:rPr>
          <w:rFonts w:ascii="PT Astra Serif" w:hAnsi="PT Astra Serif"/>
          <w:sz w:val="24"/>
          <w:szCs w:val="24"/>
          <w:lang w:val="ru-RU"/>
        </w:rPr>
        <w:t xml:space="preserve">не </w:t>
      </w:r>
      <w:r w:rsidR="00903278" w:rsidRPr="00A8650B">
        <w:rPr>
          <w:rFonts w:ascii="PT Astra Serif" w:hAnsi="PT Astra Serif"/>
          <w:sz w:val="24"/>
          <w:szCs w:val="24"/>
          <w:lang w:val="ru-RU"/>
        </w:rPr>
        <w:t>т</w:t>
      </w:r>
      <w:r w:rsidR="009E0ACB" w:rsidRPr="00A8650B">
        <w:rPr>
          <w:rFonts w:ascii="PT Astra Serif" w:hAnsi="PT Astra Serif"/>
          <w:sz w:val="24"/>
          <w:szCs w:val="24"/>
          <w:lang w:val="ru-RU"/>
        </w:rPr>
        <w:t>ребуется</w:t>
      </w:r>
      <w:r w:rsidR="009C1520" w:rsidRPr="00A8650B">
        <w:rPr>
          <w:rFonts w:ascii="PT Astra Serif" w:hAnsi="PT Astra Serif"/>
          <w:sz w:val="24"/>
          <w:szCs w:val="24"/>
          <w:lang w:val="ru-RU"/>
        </w:rPr>
        <w:t>;</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6C350C10" w14:textId="244FD9EE" w:rsidR="00543011" w:rsidRPr="00A40948" w:rsidRDefault="00A17BE5" w:rsidP="00543011">
      <w:pPr>
        <w:spacing w:before="0" w:beforeAutospacing="0" w:after="0" w:afterAutospacing="0"/>
        <w:ind w:firstLine="567"/>
        <w:jc w:val="both"/>
        <w:rPr>
          <w:rFonts w:ascii="PT Astra Serif" w:hAnsi="PT Astra Serif"/>
          <w:sz w:val="24"/>
          <w:szCs w:val="24"/>
          <w:lang w:val="ru-RU"/>
        </w:rPr>
      </w:pPr>
      <w:r w:rsidRPr="00A17BE5">
        <w:rPr>
          <w:rFonts w:ascii="PT Astra Serif" w:hAnsi="PT Astra Serif"/>
          <w:color w:val="000000"/>
          <w:sz w:val="24"/>
          <w:szCs w:val="24"/>
          <w:lang w:val="ru-RU"/>
        </w:rPr>
        <w:t>3</w:t>
      </w:r>
      <w:r w:rsidR="0095302E" w:rsidRPr="004F07AF">
        <w:rPr>
          <w:rFonts w:ascii="PT Astra Serif" w:hAnsi="PT Astra Serif"/>
          <w:color w:val="000000"/>
          <w:sz w:val="24"/>
          <w:szCs w:val="24"/>
          <w:lang w:val="ru-RU"/>
        </w:rPr>
        <w:t xml:space="preserve">) </w:t>
      </w:r>
      <w:r w:rsidR="00543011" w:rsidRPr="00543011">
        <w:rPr>
          <w:rFonts w:ascii="PT Astra Serif" w:hAnsi="PT Astra Serif"/>
          <w:color w:val="000000"/>
          <w:sz w:val="24"/>
          <w:szCs w:val="24"/>
          <w:lang w:val="ru-RU"/>
        </w:rPr>
        <w:t xml:space="preserve">информация и документы, определенные в соответствии с пунктом 2 части 2 статьи </w:t>
      </w:r>
      <w:proofErr w:type="gramStart"/>
      <w:r w:rsidR="00543011" w:rsidRPr="00543011">
        <w:rPr>
          <w:rFonts w:ascii="PT Astra Serif" w:hAnsi="PT Astra Serif"/>
          <w:color w:val="000000"/>
          <w:sz w:val="24"/>
          <w:szCs w:val="24"/>
          <w:lang w:val="ru-RU"/>
        </w:rPr>
        <w:t>14  Закона</w:t>
      </w:r>
      <w:proofErr w:type="gramEnd"/>
      <w:r w:rsidR="00543011" w:rsidRPr="00543011">
        <w:rPr>
          <w:rFonts w:ascii="PT Astra Serif" w:hAnsi="PT Astra Serif"/>
          <w:color w:val="000000"/>
          <w:sz w:val="24"/>
          <w:szCs w:val="24"/>
          <w:lang w:val="ru-RU"/>
        </w:rPr>
        <w:t xml:space="preserve">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 </w:t>
      </w:r>
      <w:r w:rsidR="00E85216">
        <w:rPr>
          <w:rFonts w:ascii="PT Astra Serif" w:hAnsi="PT Astra Serif"/>
          <w:color w:val="000000"/>
          <w:sz w:val="24"/>
          <w:szCs w:val="24"/>
          <w:lang w:val="ru-RU"/>
        </w:rPr>
        <w:t xml:space="preserve">не </w:t>
      </w:r>
      <w:r w:rsidR="00543011" w:rsidRPr="00543011">
        <w:rPr>
          <w:rFonts w:ascii="PT Astra Serif" w:hAnsi="PT Astra Serif"/>
          <w:b/>
          <w:bCs/>
          <w:color w:val="0070C0"/>
          <w:sz w:val="24"/>
          <w:szCs w:val="24"/>
          <w:lang w:val="ru-RU"/>
        </w:rPr>
        <w:t>требуется</w:t>
      </w:r>
      <w:r w:rsidR="00543011" w:rsidRPr="00A40948">
        <w:rPr>
          <w:rFonts w:ascii="PT Astra Serif" w:hAnsi="PT Astra Serif"/>
          <w:sz w:val="24"/>
          <w:szCs w:val="24"/>
          <w:lang w:val="ru-RU"/>
        </w:rPr>
        <w:t xml:space="preserve"> </w:t>
      </w:r>
    </w:p>
    <w:p w14:paraId="71CADDAC" w14:textId="77777777" w:rsidR="000620C3" w:rsidRDefault="000620C3" w:rsidP="00F51598">
      <w:pPr>
        <w:spacing w:before="0" w:beforeAutospacing="0" w:after="0" w:afterAutospacing="0"/>
        <w:rPr>
          <w:rFonts w:ascii="PT Astra Serif" w:hAnsi="PT Astra Serif"/>
          <w:b/>
          <w:bCs/>
          <w:color w:val="000000"/>
          <w:sz w:val="24"/>
          <w:szCs w:val="24"/>
          <w:lang w:val="ru-RU"/>
        </w:rPr>
      </w:pPr>
      <w:bookmarkStart w:id="0" w:name="_GoBack"/>
      <w:bookmarkEnd w:id="0"/>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0BDE7B71"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w:t>
      </w:r>
      <w:r w:rsidRPr="00A37F95">
        <w:rPr>
          <w:rFonts w:ascii="PT Astra Serif" w:hAnsi="PT Astra Serif"/>
          <w:color w:val="000000"/>
          <w:sz w:val="24"/>
          <w:szCs w:val="24"/>
          <w:lang w:val="ru-RU"/>
        </w:rPr>
        <w:lastRenderedPageBreak/>
        <w:t>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71325C9D"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3417E693" w14:textId="77777777" w:rsidR="006B5CE5" w:rsidRPr="00A37F9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13F572D7" w14:textId="77777777" w:rsidR="006B5CE5" w:rsidRDefault="006B5CE5" w:rsidP="006B5CE5">
      <w:pPr>
        <w:spacing w:before="0" w:beforeAutospacing="0" w:after="0" w:afterAutospacing="0"/>
        <w:ind w:firstLine="567"/>
        <w:jc w:val="both"/>
        <w:rPr>
          <w:rFonts w:ascii="PT Astra Serif" w:hAnsi="PT Astra Serif"/>
          <w:color w:val="000000"/>
          <w:sz w:val="24"/>
          <w:szCs w:val="24"/>
          <w:lang w:val="ru-RU"/>
        </w:rPr>
      </w:pPr>
      <w:r w:rsidRPr="00A37F95">
        <w:rPr>
          <w:rFonts w:ascii="PT Astra Serif" w:hAnsi="PT Astra Serif"/>
          <w:color w:val="000000"/>
          <w:sz w:val="24"/>
          <w:szCs w:val="24"/>
          <w:lang w:val="ru-RU"/>
        </w:rPr>
        <w:t>Кроме предусмотренных «Инструкцией по заполнению характеристик в заявке» (далее – Инструкция) требований, указанных в описании объекта закупки, в том числе в структурированном виде, при формировании заявки участником закупки должны быть учтены следующие уточняющие положения:</w:t>
      </w:r>
    </w:p>
    <w:p w14:paraId="4A4368FD"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71F854F"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2F49E18C"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05E7407"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029604EB"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w:t>
      </w:r>
    </w:p>
    <w:p w14:paraId="50474C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конкретное значение характеристики».</w:t>
      </w:r>
    </w:p>
    <w:p w14:paraId="5A56DBC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513B37B7"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 значение характеристики, превышающее указанное,</w:t>
      </w:r>
    </w:p>
    <w:p w14:paraId="67D5451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превышающее указанное;</w:t>
      </w:r>
    </w:p>
    <w:p w14:paraId="7BC771F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«&lt;» - значение характеристики менее указанного, </w:t>
      </w:r>
    </w:p>
    <w:p w14:paraId="2D6D0ECB"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значение равное или менее указанного;</w:t>
      </w:r>
    </w:p>
    <w:p w14:paraId="4BDD3C6A"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 «≥ и &lt;» - значение равное или превышающее левое значение и менее правого значения;</w:t>
      </w:r>
    </w:p>
    <w:p w14:paraId="016390F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 - значение превышающее левое значение и равное или менее правого значения;</w:t>
      </w:r>
    </w:p>
    <w:p w14:paraId="63BD212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«&gt; и &lt;» - значение превышающее левое значение и менее правого значения;</w:t>
      </w:r>
    </w:p>
    <w:p w14:paraId="69ACE12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и ≤» - значение равное или превышающее левое значение и равное или менее правого значения.</w:t>
      </w:r>
    </w:p>
    <w:p w14:paraId="2847801F"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«не ниже» - значение равное или превышающее указанное;</w:t>
      </w:r>
    </w:p>
    <w:p w14:paraId="5A0AFA0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более», «не выше» - значение равное или менее указанного;</w:t>
      </w:r>
    </w:p>
    <w:p w14:paraId="7225E2E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«менее», «ниже» - значение меньше указанного;</w:t>
      </w:r>
    </w:p>
    <w:p w14:paraId="327EE9B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«более», «выше», «свыше» - значение, превышающее указанное;</w:t>
      </w:r>
    </w:p>
    <w:p w14:paraId="49D9396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2D7BB3B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DA9DC5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«от» - указанное значение или превышающее его;</w:t>
      </w:r>
    </w:p>
    <w:p w14:paraId="7876577B"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(например: ≥ 5*10 – знак применяется к значению 5 и к значению 10).</w:t>
      </w:r>
    </w:p>
    <w:p w14:paraId="6F070949"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p>
    <w:p w14:paraId="7BFC1C3E"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lastRenderedPageBreak/>
        <w:t>Раздел II</w:t>
      </w:r>
    </w:p>
    <w:p w14:paraId="11D477E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диа</w:t>
      </w:r>
      <w:r>
        <w:rPr>
          <w:rFonts w:ascii="PT Astra Serif" w:eastAsia="Calibri" w:hAnsi="PT Astra Serif"/>
          <w:sz w:val="24"/>
          <w:szCs w:val="24"/>
          <w:lang w:val="ru-RU"/>
        </w:rPr>
        <w:t>пазон значений характеристики».</w:t>
      </w:r>
    </w:p>
    <w:p w14:paraId="1F098D4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4C7C950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менее или равное установленному;</w:t>
      </w:r>
    </w:p>
    <w:p w14:paraId="626E4A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 - участником представляется значение более или равное установленному;</w:t>
      </w:r>
    </w:p>
    <w:p w14:paraId="3C27D8A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 </w:t>
      </w:r>
      <w:proofErr w:type="gramStart"/>
      <w:r w:rsidRPr="00A37F95">
        <w:rPr>
          <w:rFonts w:ascii="PT Astra Serif" w:eastAsia="Calibri" w:hAnsi="PT Astra Serif"/>
          <w:sz w:val="24"/>
          <w:szCs w:val="24"/>
          <w:lang w:val="ru-RU"/>
        </w:rPr>
        <w:t>&lt; -</w:t>
      </w:r>
      <w:proofErr w:type="gramEnd"/>
      <w:r w:rsidRPr="00A37F95">
        <w:rPr>
          <w:rFonts w:ascii="PT Astra Serif" w:eastAsia="Calibri" w:hAnsi="PT Astra Serif"/>
          <w:sz w:val="24"/>
          <w:szCs w:val="24"/>
          <w:lang w:val="ru-RU"/>
        </w:rPr>
        <w:t xml:space="preserve"> участником представляется значение менее установленному;</w:t>
      </w:r>
    </w:p>
    <w:p w14:paraId="5FAF7D1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roofErr w:type="gramStart"/>
      <w:r w:rsidRPr="00A37F95">
        <w:rPr>
          <w:rFonts w:ascii="PT Astra Serif" w:eastAsia="Calibri" w:hAnsi="PT Astra Serif"/>
          <w:sz w:val="24"/>
          <w:szCs w:val="24"/>
          <w:lang w:val="ru-RU"/>
        </w:rPr>
        <w:t>- &gt;</w:t>
      </w:r>
      <w:proofErr w:type="gramEnd"/>
      <w:r w:rsidRPr="00A37F95">
        <w:rPr>
          <w:rFonts w:ascii="PT Astra Serif" w:eastAsia="Calibri" w:hAnsi="PT Astra Serif"/>
          <w:sz w:val="24"/>
          <w:szCs w:val="24"/>
          <w:lang w:val="ru-RU"/>
        </w:rPr>
        <w:t xml:space="preserve"> - участником представляется значение более установленному.</w:t>
      </w:r>
    </w:p>
    <w:p w14:paraId="6A5E05C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 &gt;Х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3410DF97" w14:textId="77777777" w:rsidR="006B5CE5" w:rsidRPr="004F07AF"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065E6918" w14:textId="77777777" w:rsidR="006B5CE5" w:rsidRPr="00807BCD" w:rsidRDefault="006B5CE5" w:rsidP="006B5CE5">
      <w:pPr>
        <w:spacing w:before="0" w:beforeAutospacing="0" w:after="0" w:afterAutospacing="0"/>
        <w:ind w:firstLine="709"/>
        <w:jc w:val="both"/>
        <w:rPr>
          <w:rFonts w:ascii="PT Astra Serif" w:eastAsia="Calibri" w:hAnsi="PT Astra Serif"/>
          <w:sz w:val="24"/>
          <w:szCs w:val="24"/>
          <w:lang w:val="ru-RU"/>
        </w:rPr>
      </w:pPr>
    </w:p>
    <w:p w14:paraId="6EF26AE6" w14:textId="77777777" w:rsidR="006B5CE5" w:rsidRPr="004F07AF" w:rsidRDefault="006B5CE5" w:rsidP="006B5CE5">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Раздел III</w:t>
      </w:r>
    </w:p>
    <w:p w14:paraId="64FBE7B3"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 xml:space="preserve">Инструкцией установлено «Участник закупки указывает в заявке только одно значение характеристики». </w:t>
      </w:r>
    </w:p>
    <w:p w14:paraId="2EF49878" w14:textId="77777777" w:rsidR="006B5CE5" w:rsidRDefault="006B5CE5" w:rsidP="006B5CE5">
      <w:pPr>
        <w:spacing w:before="0" w:beforeAutospacing="0" w:after="0" w:afterAutospacing="0"/>
        <w:ind w:firstLine="709"/>
        <w:jc w:val="both"/>
        <w:rPr>
          <w:rFonts w:ascii="PT Astra Serif" w:hAnsi="PT Astra Serif"/>
          <w:color w:val="000000"/>
          <w:sz w:val="24"/>
          <w:szCs w:val="24"/>
          <w:lang w:val="ru-RU"/>
        </w:rPr>
      </w:pPr>
      <w:r w:rsidRPr="00A37F95">
        <w:rPr>
          <w:rFonts w:ascii="PT Astra Serif" w:hAnsi="PT Astra Serif"/>
          <w:color w:val="000000"/>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7889F048" w14:textId="77777777" w:rsidR="006B5CE5" w:rsidRPr="00A37F95" w:rsidRDefault="006B5CE5" w:rsidP="006B5CE5">
      <w:pPr>
        <w:spacing w:before="0" w:beforeAutospacing="0" w:after="0" w:afterAutospacing="0"/>
        <w:ind w:firstLine="709"/>
        <w:jc w:val="both"/>
        <w:rPr>
          <w:rFonts w:ascii="PT Astra Serif" w:hAnsi="PT Astra Serif"/>
          <w:color w:val="000000"/>
          <w:sz w:val="24"/>
          <w:szCs w:val="24"/>
          <w:lang w:val="ru-RU"/>
        </w:rPr>
      </w:pPr>
    </w:p>
    <w:p w14:paraId="5ED3FF4D"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IV</w:t>
      </w:r>
    </w:p>
    <w:p w14:paraId="05F624A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одно или несколько значений характеристики».</w:t>
      </w:r>
    </w:p>
    <w:p w14:paraId="4EE837C3"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3DB016AC"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(например: 1, 2, 3 или 4; участник предлагает: вариант1 – 1, 2, 3; вариант 2 – 4).</w:t>
      </w:r>
    </w:p>
    <w:p w14:paraId="27628E5E"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0AFC6360"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 xml:space="preserve">Раздел V </w:t>
      </w:r>
    </w:p>
    <w:p w14:paraId="0F7D0855"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Инструкцией установлено «Участник закупки указывает в заявке все значения характеристики»</w:t>
      </w:r>
    </w:p>
    <w:p w14:paraId="4AB57008"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D97C3DD"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0EA70C18" w14:textId="77777777" w:rsidR="000620C3" w:rsidRDefault="000620C3" w:rsidP="006B5CE5">
      <w:pPr>
        <w:spacing w:before="0" w:beforeAutospacing="0" w:after="0" w:afterAutospacing="0"/>
        <w:ind w:firstLine="709"/>
        <w:jc w:val="center"/>
        <w:rPr>
          <w:rFonts w:ascii="PT Astra Serif" w:eastAsia="Calibri" w:hAnsi="PT Astra Serif"/>
          <w:b/>
          <w:sz w:val="24"/>
          <w:szCs w:val="24"/>
          <w:lang w:val="ru-RU"/>
        </w:rPr>
      </w:pPr>
    </w:p>
    <w:p w14:paraId="3987AAE5" w14:textId="77777777" w:rsidR="000620C3" w:rsidRDefault="000620C3" w:rsidP="006B5CE5">
      <w:pPr>
        <w:spacing w:before="0" w:beforeAutospacing="0" w:after="0" w:afterAutospacing="0"/>
        <w:ind w:firstLine="709"/>
        <w:jc w:val="center"/>
        <w:rPr>
          <w:rFonts w:ascii="PT Astra Serif" w:eastAsia="Calibri" w:hAnsi="PT Astra Serif"/>
          <w:b/>
          <w:sz w:val="24"/>
          <w:szCs w:val="24"/>
          <w:lang w:val="ru-RU"/>
        </w:rPr>
      </w:pPr>
    </w:p>
    <w:p w14:paraId="3241D0C6" w14:textId="77777777" w:rsidR="006B5CE5" w:rsidRPr="00A37F95" w:rsidRDefault="006B5CE5" w:rsidP="006B5CE5">
      <w:pPr>
        <w:spacing w:before="0" w:beforeAutospacing="0" w:after="0" w:afterAutospacing="0"/>
        <w:ind w:firstLine="709"/>
        <w:jc w:val="center"/>
        <w:rPr>
          <w:rFonts w:ascii="PT Astra Serif" w:eastAsia="Calibri" w:hAnsi="PT Astra Serif"/>
          <w:b/>
          <w:sz w:val="24"/>
          <w:szCs w:val="24"/>
          <w:lang w:val="ru-RU"/>
        </w:rPr>
      </w:pPr>
      <w:r w:rsidRPr="00A37F95">
        <w:rPr>
          <w:rFonts w:ascii="PT Astra Serif" w:eastAsia="Calibri" w:hAnsi="PT Astra Serif"/>
          <w:b/>
          <w:sz w:val="24"/>
          <w:szCs w:val="24"/>
          <w:lang w:val="ru-RU"/>
        </w:rPr>
        <w:t>Раздел VI</w:t>
      </w:r>
    </w:p>
    <w:p w14:paraId="21F30D74"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r>
        <w:rPr>
          <w:rFonts w:ascii="PT Astra Serif" w:eastAsia="Calibri" w:hAnsi="PT Astra Serif"/>
          <w:sz w:val="24"/>
          <w:szCs w:val="24"/>
          <w:lang w:val="ru-RU"/>
        </w:rPr>
        <w:t>З</w:t>
      </w:r>
      <w:r w:rsidRPr="00A37F95">
        <w:rPr>
          <w:rFonts w:ascii="PT Astra Serif" w:eastAsia="Calibri" w:hAnsi="PT Astra Serif"/>
          <w:sz w:val="24"/>
          <w:szCs w:val="24"/>
          <w:lang w:val="ru-RU"/>
        </w:rPr>
        <w:t xml:space="preserve">аказчиком в «описании объекта закупки». </w:t>
      </w:r>
    </w:p>
    <w:p w14:paraId="0457E699"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362BB0"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 xml:space="preserve">Значения показателей не должны допускать разночтения или двусмысленное толкование и содержать в т.ч. следующие слова (с учётом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w:t>
      </w:r>
      <w:r w:rsidRPr="00A37F95">
        <w:rPr>
          <w:rFonts w:ascii="PT Astra Serif" w:eastAsia="Calibri" w:hAnsi="PT Astra Serif"/>
          <w:sz w:val="24"/>
          <w:szCs w:val="24"/>
          <w:lang w:val="ru-RU"/>
        </w:rPr>
        <w:lastRenderedPageBreak/>
        <w:t>Инструкцией, при которых указанные слова/знаки являются частью неизменного показателя), то есть должны быть конкретными.</w:t>
      </w:r>
    </w:p>
    <w:p w14:paraId="2836C9F1"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r w:rsidRPr="00A37F95">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58EDF592"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3BF2C5C5"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6B99E756"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0A4CC71B" w14:textId="77777777" w:rsidR="006B5CE5" w:rsidRDefault="006B5CE5" w:rsidP="006B5CE5">
      <w:pPr>
        <w:spacing w:before="0" w:beforeAutospacing="0" w:after="0" w:afterAutospacing="0"/>
        <w:ind w:firstLine="709"/>
        <w:jc w:val="both"/>
        <w:rPr>
          <w:rFonts w:ascii="PT Astra Serif" w:eastAsia="Calibri" w:hAnsi="PT Astra Serif"/>
          <w:sz w:val="24"/>
          <w:szCs w:val="24"/>
          <w:lang w:val="ru-RU"/>
        </w:rPr>
      </w:pPr>
    </w:p>
    <w:p w14:paraId="3E7F09D6" w14:textId="77777777" w:rsidR="006B5CE5" w:rsidRPr="00A37F95" w:rsidRDefault="006B5CE5" w:rsidP="006B5CE5">
      <w:pPr>
        <w:spacing w:before="0" w:beforeAutospacing="0" w:after="0" w:afterAutospacing="0"/>
        <w:ind w:firstLine="709"/>
        <w:jc w:val="both"/>
        <w:rPr>
          <w:rFonts w:ascii="PT Astra Serif" w:eastAsia="Calibri" w:hAnsi="PT Astra Serif"/>
          <w:sz w:val="24"/>
          <w:szCs w:val="24"/>
          <w:lang w:val="ru-RU"/>
        </w:rPr>
      </w:pPr>
    </w:p>
    <w:p w14:paraId="2AA924F8" w14:textId="77777777" w:rsidR="006B5CE5" w:rsidRPr="00A37F95" w:rsidRDefault="006B5CE5" w:rsidP="006B5CE5">
      <w:pPr>
        <w:spacing w:before="0" w:beforeAutospacing="0" w:after="0" w:afterAutospacing="0"/>
        <w:ind w:firstLine="709"/>
        <w:jc w:val="both"/>
        <w:rPr>
          <w:rFonts w:ascii="PT Astra Serif" w:eastAsia="Calibri" w:hAnsi="PT Astra Serif"/>
          <w:sz w:val="16"/>
          <w:szCs w:val="16"/>
          <w:lang w:val="ru-RU"/>
        </w:rPr>
      </w:pPr>
      <w:r w:rsidRPr="00A37F95">
        <w:rPr>
          <w:rFonts w:ascii="PT Astra Serif" w:eastAsia="Calibri" w:hAnsi="PT Astra Serif"/>
          <w:sz w:val="16"/>
          <w:szCs w:val="16"/>
          <w:lang w:val="ru-RU"/>
        </w:rPr>
        <w:t>Примечание: В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5FC09D9" w14:textId="77777777" w:rsidR="006B5CE5" w:rsidRPr="004F07AF" w:rsidRDefault="006B5CE5" w:rsidP="006B5CE5">
      <w:pPr>
        <w:spacing w:before="0" w:beforeAutospacing="0" w:after="0" w:afterAutospacing="0"/>
        <w:ind w:firstLine="567"/>
        <w:jc w:val="both"/>
        <w:rPr>
          <w:rFonts w:ascii="PT Astra Serif" w:hAnsi="PT Astra Serif"/>
          <w:color w:val="000000"/>
          <w:sz w:val="24"/>
          <w:szCs w:val="24"/>
          <w:lang w:val="ru-RU"/>
        </w:rPr>
      </w:pPr>
    </w:p>
    <w:p w14:paraId="1658B31C" w14:textId="7314A8AE" w:rsidR="00EC02CD" w:rsidRPr="004F07AF" w:rsidRDefault="00EC02CD" w:rsidP="006B5CE5">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AAEE5" w14:textId="77777777" w:rsidR="005C3DDA" w:rsidRDefault="005C3DDA" w:rsidP="00457339">
      <w:pPr>
        <w:spacing w:before="0" w:after="0"/>
      </w:pPr>
      <w:r>
        <w:separator/>
      </w:r>
    </w:p>
  </w:endnote>
  <w:endnote w:type="continuationSeparator" w:id="0">
    <w:p w14:paraId="631D49CC" w14:textId="77777777" w:rsidR="005C3DDA" w:rsidRDefault="005C3DDA"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5810757"/>
      <w:docPartObj>
        <w:docPartGallery w:val="Page Numbers (Bottom of Page)"/>
        <w:docPartUnique/>
      </w:docPartObj>
    </w:sdtPr>
    <w:sdtEndPr/>
    <w:sdtContent>
      <w:p w14:paraId="299D527A" w14:textId="3E3B17B3" w:rsidR="00457339" w:rsidRDefault="00457339">
        <w:pPr>
          <w:pStyle w:val="ad"/>
          <w:jc w:val="center"/>
        </w:pPr>
        <w:r>
          <w:fldChar w:fldCharType="begin"/>
        </w:r>
        <w:r>
          <w:instrText>PAGE   \* MERGEFORMAT</w:instrText>
        </w:r>
        <w:r>
          <w:fldChar w:fldCharType="separate"/>
        </w:r>
        <w:r w:rsidR="004415B3" w:rsidRPr="004415B3">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E6A97" w14:textId="77777777" w:rsidR="005C3DDA" w:rsidRDefault="005C3DDA" w:rsidP="00457339">
      <w:pPr>
        <w:spacing w:before="0" w:after="0"/>
      </w:pPr>
      <w:r>
        <w:separator/>
      </w:r>
    </w:p>
  </w:footnote>
  <w:footnote w:type="continuationSeparator" w:id="0">
    <w:p w14:paraId="5CFA7C50" w14:textId="77777777" w:rsidR="005C3DDA" w:rsidRDefault="005C3DDA"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620C3"/>
    <w:rsid w:val="000D54BE"/>
    <w:rsid w:val="000F22C3"/>
    <w:rsid w:val="001102D0"/>
    <w:rsid w:val="001C65C1"/>
    <w:rsid w:val="001E1C1A"/>
    <w:rsid w:val="001F29E0"/>
    <w:rsid w:val="00220EC3"/>
    <w:rsid w:val="00256770"/>
    <w:rsid w:val="00261A67"/>
    <w:rsid w:val="0028377A"/>
    <w:rsid w:val="002901C9"/>
    <w:rsid w:val="002B16FE"/>
    <w:rsid w:val="002D33B1"/>
    <w:rsid w:val="002D3591"/>
    <w:rsid w:val="002F2F2B"/>
    <w:rsid w:val="002F7B8A"/>
    <w:rsid w:val="00313156"/>
    <w:rsid w:val="003323F2"/>
    <w:rsid w:val="003514A0"/>
    <w:rsid w:val="003D1F09"/>
    <w:rsid w:val="004320A4"/>
    <w:rsid w:val="004415B3"/>
    <w:rsid w:val="00457339"/>
    <w:rsid w:val="004924EA"/>
    <w:rsid w:val="004A0506"/>
    <w:rsid w:val="004F07AF"/>
    <w:rsid w:val="004F7E17"/>
    <w:rsid w:val="00543011"/>
    <w:rsid w:val="0058272A"/>
    <w:rsid w:val="005A05CE"/>
    <w:rsid w:val="005C3DDA"/>
    <w:rsid w:val="005D4897"/>
    <w:rsid w:val="005E46F0"/>
    <w:rsid w:val="00614567"/>
    <w:rsid w:val="00617F1A"/>
    <w:rsid w:val="0063423E"/>
    <w:rsid w:val="0064289D"/>
    <w:rsid w:val="00653AF6"/>
    <w:rsid w:val="00663235"/>
    <w:rsid w:val="00692C11"/>
    <w:rsid w:val="006B5CE5"/>
    <w:rsid w:val="006D0956"/>
    <w:rsid w:val="00730DAF"/>
    <w:rsid w:val="00734004"/>
    <w:rsid w:val="00735679"/>
    <w:rsid w:val="007B7B42"/>
    <w:rsid w:val="00807BCD"/>
    <w:rsid w:val="00815405"/>
    <w:rsid w:val="00846EDD"/>
    <w:rsid w:val="008757C5"/>
    <w:rsid w:val="008D28E9"/>
    <w:rsid w:val="00903278"/>
    <w:rsid w:val="009271BE"/>
    <w:rsid w:val="0093383E"/>
    <w:rsid w:val="0095302E"/>
    <w:rsid w:val="009C1520"/>
    <w:rsid w:val="009D246C"/>
    <w:rsid w:val="009E0ACB"/>
    <w:rsid w:val="00A04AA7"/>
    <w:rsid w:val="00A16385"/>
    <w:rsid w:val="00A17BE5"/>
    <w:rsid w:val="00A40948"/>
    <w:rsid w:val="00A8378F"/>
    <w:rsid w:val="00A8650B"/>
    <w:rsid w:val="00A944D0"/>
    <w:rsid w:val="00AF376C"/>
    <w:rsid w:val="00B078AA"/>
    <w:rsid w:val="00B504FC"/>
    <w:rsid w:val="00B52F91"/>
    <w:rsid w:val="00B73A5A"/>
    <w:rsid w:val="00B81B48"/>
    <w:rsid w:val="00BE55C0"/>
    <w:rsid w:val="00BF4B4C"/>
    <w:rsid w:val="00C242E4"/>
    <w:rsid w:val="00C26F57"/>
    <w:rsid w:val="00C41787"/>
    <w:rsid w:val="00C71AE4"/>
    <w:rsid w:val="00C7514A"/>
    <w:rsid w:val="00C91B8E"/>
    <w:rsid w:val="00D16A8A"/>
    <w:rsid w:val="00D30BA0"/>
    <w:rsid w:val="00DD3588"/>
    <w:rsid w:val="00E063BE"/>
    <w:rsid w:val="00E2594A"/>
    <w:rsid w:val="00E2670F"/>
    <w:rsid w:val="00E4089C"/>
    <w:rsid w:val="00E438A1"/>
    <w:rsid w:val="00E85216"/>
    <w:rsid w:val="00EB7E4F"/>
    <w:rsid w:val="00EC02CD"/>
    <w:rsid w:val="00F01E19"/>
    <w:rsid w:val="00F12C3A"/>
    <w:rsid w:val="00F26475"/>
    <w:rsid w:val="00F51598"/>
    <w:rsid w:val="00FB3A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docId w15:val="{7307556D-FB11-42B9-9C44-5BAC99AC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2782</Words>
  <Characters>15858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User</cp:lastModifiedBy>
  <cp:revision>5</cp:revision>
  <cp:lastPrinted>2025-02-25T05:42:00Z</cp:lastPrinted>
  <dcterms:created xsi:type="dcterms:W3CDTF">2025-01-29T07:50:00Z</dcterms:created>
  <dcterms:modified xsi:type="dcterms:W3CDTF">2025-02-25T05:44:00Z</dcterms:modified>
</cp:coreProperties>
</file>